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2.jpeg" ContentType="image/jpeg"/>
  <Override PartName="/word/media/image1.jpeg" ContentType="image/jpe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/>
          <w:b/>
          <w:color w:val="000000"/>
          <w:sz w:val="36"/>
          <w:szCs w:val="36"/>
        </w:rPr>
      </w:pPr>
      <w:r>
        <w:rPr>
          <w:rFonts w:ascii="Times New Roman" w:hAnsi="Times New Roman"/>
          <w:b/>
          <w:color w:val="000000"/>
          <w:sz w:val="36"/>
          <w:szCs w:val="36"/>
        </w:rPr>
        <w:t>Agricycle Veneto: gli agriturismi per cicloturisti</w:t>
      </w:r>
    </w:p>
    <w:p>
      <w:pPr>
        <w:pStyle w:val="Normal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Fa parte della rete “Gusta Veneto” </w:t>
      </w:r>
      <w:r>
        <w:rPr>
          <w:rFonts w:ascii="Times New Roman" w:hAnsi="Times New Roman"/>
          <w:b/>
          <w:color w:val="000000"/>
        </w:rPr>
        <w:t>AgriCycle Veneto</w:t>
      </w:r>
      <w:r>
        <w:rPr>
          <w:rFonts w:ascii="Times New Roman" w:hAnsi="Times New Roman"/>
          <w:color w:val="000000"/>
        </w:rPr>
        <w:t xml:space="preserve">, un progetto di Agriturist e Confagricoltura Veneto cui hanno aderito ad oggi 38 agriturismi accomunati dalla passione per la bicicletta, che si impegnano ad offrire servizi mirati a clienti che vogliono scoprire il territorio regionale sulle due ruote. Il Veneto, e in particolare le sue zone di pianura e di collina, ben si prestano ad essere vissute e visitate in bicicletta, riscoprendo e valorizzando il rapporto tra uomo e natura. AgriCycle Veneto è un’offerta che intende arricchire le tradizionali e già affermate proposte enogastronomiche e di ospitalità che da sempre caratterizzano l’agriturismo italiano. </w:t>
      </w:r>
      <w:r>
        <w:rPr>
          <w:rFonts w:ascii="Times New Roman" w:hAnsi="Times New Roman"/>
          <w:b/>
          <w:color w:val="000000"/>
        </w:rPr>
        <w:t>In Italia il settore del cicloturismo è in costante crescita</w:t>
      </w:r>
      <w:r>
        <w:rPr>
          <w:rFonts w:ascii="Times New Roman" w:hAnsi="Times New Roman"/>
          <w:color w:val="000000"/>
        </w:rPr>
        <w:t>: secondo l’Agenzia nazionale del turismo-Enit la potenzialità a livello nazionale è di 3,2 miliardi di euro di fatturato annui. In Veneto ci sono oltre mille chilometri di piste tabellate.</w:t>
      </w:r>
    </w:p>
    <w:p>
      <w:pPr>
        <w:pStyle w:val="Normal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Gli agriturismi del network dispongono di una carta dei servizi dettagliata per il cicloturista</w:t>
      </w:r>
      <w:r>
        <w:rPr>
          <w:rFonts w:ascii="Times New Roman" w:hAnsi="Times New Roman"/>
          <w:color w:val="000000"/>
        </w:rPr>
        <w:t>, che consiste in:</w:t>
      </w:r>
    </w:p>
    <w:p>
      <w:pPr>
        <w:pStyle w:val="Normal"/>
        <w:numPr>
          <w:ilvl w:val="0"/>
          <w:numId w:val="1"/>
        </w:num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Locali coperti e riparati per il ricovero biciclette</w:t>
      </w:r>
    </w:p>
    <w:p>
      <w:pPr>
        <w:pStyle w:val="Normal"/>
        <w:numPr>
          <w:ilvl w:val="0"/>
          <w:numId w:val="1"/>
        </w:num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Piccole attrezzature per la manutenzione</w:t>
      </w:r>
    </w:p>
    <w:p>
      <w:pPr>
        <w:pStyle w:val="Normal"/>
        <w:numPr>
          <w:ilvl w:val="0"/>
          <w:numId w:val="1"/>
        </w:num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Indirizzi di officine meccaniche</w:t>
      </w:r>
    </w:p>
    <w:p>
      <w:pPr>
        <w:pStyle w:val="Normal"/>
        <w:numPr>
          <w:ilvl w:val="0"/>
          <w:numId w:val="1"/>
        </w:num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Indirizzi di ditte per il noleggio di biciclette</w:t>
      </w:r>
    </w:p>
    <w:p>
      <w:pPr>
        <w:pStyle w:val="Normal"/>
        <w:numPr>
          <w:ilvl w:val="0"/>
          <w:numId w:val="1"/>
        </w:num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Mappe delle principali piste ciclabili e degli itinerari cicloturistici della zona</w:t>
      </w:r>
    </w:p>
    <w:p>
      <w:pPr>
        <w:pStyle w:val="Normal"/>
        <w:numPr>
          <w:ilvl w:val="0"/>
          <w:numId w:val="1"/>
        </w:num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Indirizzi di guide turistiche del territorio</w:t>
      </w:r>
    </w:p>
    <w:p>
      <w:pPr>
        <w:pStyle w:val="Normal"/>
        <w:numPr>
          <w:ilvl w:val="0"/>
          <w:numId w:val="1"/>
        </w:num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Trasporto dei bagagli dalla/alla stazione ferroviaria più vicina</w:t>
      </w:r>
    </w:p>
    <w:p>
      <w:pPr>
        <w:pStyle w:val="Normal"/>
        <w:numPr>
          <w:ilvl w:val="0"/>
          <w:numId w:val="1"/>
        </w:num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Colazione energetica per il cicloturista</w:t>
      </w:r>
    </w:p>
    <w:p>
      <w:pPr>
        <w:pStyle w:val="Normal"/>
        <w:numPr>
          <w:ilvl w:val="0"/>
          <w:numId w:val="1"/>
        </w:num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Merenda al sacco o al rientro dal percorso cicloturistico</w:t>
      </w:r>
    </w:p>
    <w:p>
      <w:pPr>
        <w:pStyle w:val="Normal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La maggior parte degli agriturismi si trova sui principali itinerari cicloturistici del Veneto</w:t>
      </w:r>
      <w:r>
        <w:rPr>
          <w:rFonts w:ascii="Times New Roman" w:hAnsi="Times New Roman"/>
          <w:color w:val="000000"/>
        </w:rPr>
        <w:t>, che sono: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Ciclovia dell’Adige</w:t>
      </w:r>
      <w:r>
        <w:rPr>
          <w:rFonts w:ascii="Times New Roman" w:hAnsi="Times New Roman"/>
          <w:color w:val="000000"/>
        </w:rPr>
        <w:t>: 139 chilometri da Chioggia a San Bonifacio, totalmente pianeggiante, metà asfalto e metà sterrato, con una varietà incredibile di paesaggi: si passa dagli scorci lagunari del primo entroterra veneziano alle infinite campagne del Rodigino, per arrivare poi alla campagna del Basso veronese con l’eccezionale colpo d’occhio sui monti Lessini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Anello ciclabile dei Colli Euganei</w:t>
      </w:r>
      <w:r>
        <w:rPr>
          <w:rFonts w:ascii="Times New Roman" w:hAnsi="Times New Roman"/>
          <w:color w:val="000000"/>
        </w:rPr>
        <w:t>: 63 chilometri di distanza, percorso misto di asfalto e sterrato con scorci stupendi tra campi coltivati e castelli, corsi d’acqua e zone di interesse naturalistico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L’anello del Veneto,</w:t>
      </w:r>
      <w:r>
        <w:rPr>
          <w:rFonts w:ascii="Times New Roman" w:hAnsi="Times New Roman"/>
          <w:color w:val="000000"/>
        </w:rPr>
        <w:t xml:space="preserve"> percorso cicloturistico circolare attorno alle province di Venezia, Padova, Vicenza e Treviso, passando per la Pedemontana e toccando le città più belle della regione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La via del Mare,</w:t>
      </w:r>
      <w:r>
        <w:rPr>
          <w:rFonts w:ascii="Times New Roman" w:hAnsi="Times New Roman"/>
          <w:color w:val="000000"/>
        </w:rPr>
        <w:t xml:space="preserve"> che da Rovigo attraversa paesaggi agresti, rigogliose pinete e giunge fino al faro di Bibione, alla foce del Tagliamento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Dalle Dolomiti a Venezia</w:t>
      </w:r>
      <w:r>
        <w:rPr>
          <w:rFonts w:ascii="Times New Roman" w:hAnsi="Times New Roman"/>
          <w:color w:val="000000"/>
        </w:rPr>
        <w:t>, passando da Cortina ai piedi del Cansiglio, e poi dalle colline del Prosecco a Piave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Dal lago di Garda a Venezia</w:t>
      </w:r>
      <w:bookmarkStart w:id="0" w:name="_GoBack"/>
      <w:bookmarkEnd w:id="0"/>
      <w:r>
        <w:rPr>
          <w:rFonts w:ascii="Times New Roman" w:hAnsi="Times New Roman"/>
          <w:color w:val="000000"/>
        </w:rPr>
        <w:t xml:space="preserve"> attraverso un fitto intreccio di tracciati ciclabili che, sulla via naturale dei fiumi Adige e Brenta, portano alla terraferma veneziana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/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-300990</wp:posOffset>
                </wp:positionH>
                <wp:positionV relativeFrom="paragraph">
                  <wp:posOffset>433705</wp:posOffset>
                </wp:positionV>
                <wp:extent cx="3949700" cy="1371600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0" cy="137160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Contenutocornice"/>
                              <w:tabs>
                                <w:tab w:val="left" w:pos="916" w:leader="none"/>
                                <w:tab w:val="left" w:pos="1832" w:leader="none"/>
                                <w:tab w:val="left" w:pos="2748" w:leader="none"/>
                                <w:tab w:val="left" w:pos="3664" w:leader="none"/>
                                <w:tab w:val="left" w:pos="4580" w:leader="none"/>
                                <w:tab w:val="left" w:pos="5496" w:leader="none"/>
                                <w:tab w:val="left" w:pos="6412" w:leader="none"/>
                                <w:tab w:val="left" w:pos="7328" w:leader="none"/>
                                <w:tab w:val="left" w:pos="8244" w:leader="none"/>
                                <w:tab w:val="left" w:pos="9160" w:leader="none"/>
                                <w:tab w:val="left" w:pos="10076" w:leader="none"/>
                                <w:tab w:val="left" w:pos="10992" w:leader="none"/>
                                <w:tab w:val="left" w:pos="11908" w:leader="none"/>
                                <w:tab w:val="left" w:pos="12824" w:leader="none"/>
                                <w:tab w:val="left" w:pos="13740" w:leader="none"/>
                                <w:tab w:val="left" w:pos="14656" w:leader="none"/>
                              </w:tabs>
                              <w:spacing w:lineRule="auto" w:line="240" w:before="0" w:after="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d="f" strokeweight="0pt" style="position:absolute;rotation:0;width:311pt;height:108pt;mso-wrap-distance-left:9pt;mso-wrap-distance-right:9pt;mso-wrap-distance-top:0pt;mso-wrap-distance-bottom:0pt;margin-top:34.15pt;mso-position-vertical-relative:text;margin-left:-23.7pt;mso-position-horizontal-relative:text">
                <v:textbox>
                  <w:txbxContent>
                    <w:p>
                      <w:pPr>
                        <w:pStyle w:val="Contenutocornice"/>
                        <w:tabs>
                          <w:tab w:val="left" w:pos="916" w:leader="none"/>
                          <w:tab w:val="left" w:pos="1832" w:leader="none"/>
                          <w:tab w:val="left" w:pos="2748" w:leader="none"/>
                          <w:tab w:val="left" w:pos="3664" w:leader="none"/>
                          <w:tab w:val="left" w:pos="4580" w:leader="none"/>
                          <w:tab w:val="left" w:pos="5496" w:leader="none"/>
                          <w:tab w:val="left" w:pos="6412" w:leader="none"/>
                          <w:tab w:val="left" w:pos="7328" w:leader="none"/>
                          <w:tab w:val="left" w:pos="8244" w:leader="none"/>
                          <w:tab w:val="left" w:pos="9160" w:leader="none"/>
                          <w:tab w:val="left" w:pos="10076" w:leader="none"/>
                          <w:tab w:val="left" w:pos="10992" w:leader="none"/>
                          <w:tab w:val="left" w:pos="11908" w:leader="none"/>
                          <w:tab w:val="left" w:pos="12824" w:leader="none"/>
                          <w:tab w:val="left" w:pos="13740" w:leader="none"/>
                          <w:tab w:val="left" w:pos="14656" w:leader="none"/>
                        </w:tabs>
                        <w:spacing w:lineRule="auto" w:line="240" w:before="0" w:after="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sectPr>
      <w:headerReference w:type="default" r:id="rId2"/>
      <w:type w:val="nextPage"/>
      <w:pgSz w:w="11906" w:h="16838"/>
      <w:pgMar w:left="1134" w:right="1134" w:header="708" w:top="1417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jc w:val="center"/>
      <w:rPr/>
    </w:pPr>
    <w:r>
      <w:rPr/>
      <mc:AlternateContent>
        <mc:Choice Requires="wps">
          <w:drawing>
            <wp:inline distT="0" distB="0" distL="0" distR="0">
              <wp:extent cx="3305810" cy="676910"/>
              <wp:effectExtent l="0" t="0" r="0" b="0"/>
              <wp:docPr id="2" name="Immagine 1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magine 1" descr="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3305160" cy="676440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rect id="shape_0" ID="Immagine 1" stroked="f" style="position:absolute;margin-left:0pt;margin-top:0pt;width:260.2pt;height:53.2pt">
              <v:imagedata r:id="rId2" o:detectmouseclick="t"/>
              <w10:wrap type="none"/>
              <v:stroke color="#3465a4" joinstyle="round" endcap="flat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559af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sz w:val="22"/>
      <w:szCs w:val="22"/>
      <w:lang w:eastAsia="en-US" w:val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locked/>
    <w:rsid w:val="00832153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locked/>
    <w:rsid w:val="00832153"/>
    <w:rPr/>
  </w:style>
  <w:style w:type="character" w:styleId="TestofumettoCarattere" w:customStyle="1">
    <w:name w:val="Testo fumetto Carattere"/>
    <w:link w:val="Testofumetto"/>
    <w:uiPriority w:val="99"/>
    <w:semiHidden/>
    <w:qFormat/>
    <w:locked/>
    <w:rsid w:val="00832153"/>
    <w:rPr>
      <w:rFonts w:ascii="Tahoma" w:hAnsi="Tahoma"/>
      <w:sz w:val="16"/>
    </w:rPr>
  </w:style>
  <w:style w:type="character" w:styleId="CollegamentoInternet">
    <w:name w:val="Collegamento Internet"/>
    <w:uiPriority w:val="99"/>
    <w:rsid w:val="00832153"/>
    <w:rPr>
      <w:rFonts w:cs="Times New Roman"/>
      <w:color w:val="0000FF"/>
      <w:u w:val="single"/>
    </w:rPr>
  </w:style>
  <w:style w:type="character" w:styleId="Appleconvertedspace" w:customStyle="1">
    <w:name w:val="apple-converted-space"/>
    <w:qFormat/>
    <w:rsid w:val="00e762c4"/>
    <w:rPr/>
  </w:style>
  <w:style w:type="character" w:styleId="Strong">
    <w:name w:val="Strong"/>
    <w:uiPriority w:val="22"/>
    <w:qFormat/>
    <w:locked/>
    <w:rsid w:val="006d25a7"/>
    <w:rPr>
      <w:b/>
      <w:bCs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ascii="Times New Roman" w:hAnsi="Times New Roman" w:eastAsia="Calibri" w:cs="Times New Roman"/>
      <w:b/>
    </w:rPr>
  </w:style>
  <w:style w:type="character" w:styleId="ListLabel3">
    <w:name w:val="ListLabel 3"/>
    <w:qFormat/>
    <w:rPr>
      <w:rFonts w:cs="Courier New"/>
    </w:rPr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Corpo del testo"/>
    <w:basedOn w:val="Normal"/>
    <w:pPr>
      <w:spacing w:lineRule="auto" w:line="288" w:before="0" w:after="140"/>
    </w:pPr>
    <w:rPr/>
  </w:style>
  <w:style w:type="paragraph" w:styleId="Elenco">
    <w:name w:val="Elenco"/>
    <w:basedOn w:val="Corpodeltesto"/>
    <w:pPr/>
    <w:rPr>
      <w:rFonts w:cs="Mangal"/>
    </w:rPr>
  </w:style>
  <w:style w:type="paragraph" w:styleId="Didascalia">
    <w:name w:val="Didascali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">
    <w:name w:val="Intestazione"/>
    <w:basedOn w:val="Normal"/>
    <w:link w:val="IntestazioneCarattere"/>
    <w:uiPriority w:val="99"/>
    <w:rsid w:val="00832153"/>
    <w:pPr>
      <w:tabs>
        <w:tab w:val="center" w:pos="4819" w:leader="none"/>
        <w:tab w:val="right" w:pos="9638" w:leader="none"/>
      </w:tabs>
      <w:spacing w:lineRule="auto" w:line="240" w:before="0" w:after="0"/>
    </w:pPr>
    <w:rPr>
      <w:sz w:val="20"/>
      <w:szCs w:val="20"/>
      <w:lang w:eastAsia="it-IT"/>
    </w:rPr>
  </w:style>
  <w:style w:type="paragraph" w:styleId="Pidipagina">
    <w:name w:val="Piè di pagina"/>
    <w:basedOn w:val="Normal"/>
    <w:link w:val="PidipaginaCarattere"/>
    <w:uiPriority w:val="99"/>
    <w:rsid w:val="00832153"/>
    <w:pPr>
      <w:tabs>
        <w:tab w:val="center" w:pos="4819" w:leader="none"/>
        <w:tab w:val="right" w:pos="9638" w:leader="none"/>
      </w:tabs>
      <w:spacing w:lineRule="auto" w:line="240" w:before="0" w:after="0"/>
    </w:pPr>
    <w:rPr>
      <w:sz w:val="20"/>
      <w:szCs w:val="20"/>
      <w:lang w:eastAsia="it-IT"/>
    </w:rPr>
  </w:style>
  <w:style w:type="paragraph" w:styleId="BalloonText">
    <w:name w:val="Balloon Text"/>
    <w:basedOn w:val="Normal"/>
    <w:link w:val="TestofumettoCarattere"/>
    <w:uiPriority w:val="99"/>
    <w:semiHidden/>
    <w:qFormat/>
    <w:rsid w:val="00832153"/>
    <w:pPr>
      <w:spacing w:lineRule="auto" w:line="240" w:before="0" w:after="0"/>
    </w:pPr>
    <w:rPr>
      <w:rFonts w:ascii="Tahoma" w:hAnsi="Tahoma"/>
      <w:sz w:val="16"/>
      <w:szCs w:val="16"/>
      <w:lang w:eastAsia="it-IT"/>
    </w:rPr>
  </w:style>
  <w:style w:type="paragraph" w:styleId="Default" w:customStyle="1">
    <w:name w:val="Default"/>
    <w:uiPriority w:val="99"/>
    <w:qFormat/>
    <w:rsid w:val="00d25b10"/>
    <w:pPr>
      <w:widowControl/>
      <w:suppressAutoHyphens w:val="true"/>
      <w:bidi w:val="0"/>
      <w:jc w:val="left"/>
    </w:pPr>
    <w:rPr>
      <w:rFonts w:ascii="Arial" w:hAnsi="Arial" w:cs="Arial" w:eastAsia="Calibri"/>
      <w:color w:val="000000"/>
      <w:sz w:val="24"/>
      <w:szCs w:val="24"/>
      <w:lang w:val="it-IT" w:eastAsia="it-IT" w:bidi="ar-SA"/>
    </w:rPr>
  </w:style>
  <w:style w:type="paragraph" w:styleId="NormalWeb">
    <w:name w:val="Normal (Web)"/>
    <w:basedOn w:val="Normal"/>
    <w:uiPriority w:val="99"/>
    <w:unhideWhenUsed/>
    <w:qFormat/>
    <w:rsid w:val="00a3594d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it-IT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25668-8091-477F-A1F4-FDE16FE6C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LibreOffice/4.4.3.2$Windows_x86 LibreOffice_project/88805f81e9fe61362df02b9941de8e38a9b5fd16</Application>
  <Paragraphs>20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2015-11-24T09:38:00Z</dcterms:created>
  <dc:creator>olivio quinci</dc:creator>
  <dc:language>it-IT</dc:language>
  <cp:lastModifiedBy>Laura</cp:lastModifiedBy>
  <cp:lastPrinted>2015-06-16T13:40:00Z</cp:lastPrinted>
  <dcterms:modified xsi:type="dcterms:W3CDTF">2016-03-31T14:37:00Z</dcterms:modified>
  <cp:revision>16</cp:revision>
  <dc:title>Comunicato stampa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